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Коммерческое предложение по изготовлению квартальных календарей «Стиль»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Квартальный календарь на одной пружинке. Необычные пропорции и стильный вид сразу притягивают внимание, а цена все равно остается ниже, чем у классических квартальников на 3 пружинках (при этом удобство выше, так как главный месяц больше).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Главный месяц примерно на 20% больше, чем в классическом трехблочном календаре, лучше виден, и сам календарь смотрится стильно. Размер шапки 340х340 мм, подложки - 340х275 мм, а сам календарь в раскрытом виде примерно 340х620 мм.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Современные численники "воздушного" дизайна, с серебристой краской, отпечатаны на мелованной бумаге. Обозначены европейские праздники. Допускают использование круглого статического курсора (кроме классического "квадратного на ленте").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Необычный и доступный вариант квартальников.</w:t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45"/>
        <w:gridCol w:w="5055"/>
        <w:tblGridChange w:id="0">
          <w:tblGrid>
            <w:gridCol w:w="3945"/>
            <w:gridCol w:w="5055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2405063" cy="4218303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5063" cy="421830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Цены на стандартный вариант (без дизайна):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10 экз</w:t>
              <w:tab/>
              <w:t xml:space="preserve">2 280 руб.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50 экз</w:t>
              <w:tab/>
              <w:t xml:space="preserve">7 800 руб.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100 экз</w:t>
              <w:tab/>
              <w:t xml:space="preserve">14 700 руб.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Дизайн: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Цена макета – от 3 000 руб.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Улучшения: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Можно улучшить календари особой отделкой – фольга или УФ-лак на шапке календаря, цветная пружинка, разные виды курсоров и пр. 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Подробности см. 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http://printspravka.tilda.ws/kalendar_kvartal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 производства: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Стандартный срок изготовления – около 2 недель. Срочные заказы мы сможем сделать за 3-4 дня.</w:t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С уважением, </w:t>
        <w:tab/>
        <w:tab/>
        <w:tab/>
        <w:t xml:space="preserve">рекламное агентство «РА» </w:t>
      </w:r>
    </w:p>
    <w:p w:rsidR="00000000" w:rsidDel="00000000" w:rsidP="00000000" w:rsidRDefault="00000000" w:rsidRPr="00000000" w14:paraId="0000001C">
      <w:pPr>
        <w:ind w:left="2160" w:firstLine="720"/>
        <w:rPr/>
      </w:pPr>
      <w:r w:rsidDel="00000000" w:rsidR="00000000" w:rsidRPr="00000000">
        <w:rPr>
          <w:rtl w:val="0"/>
        </w:rPr>
        <w:t xml:space="preserve">(123) 123-45-67, </w:t>
      </w:r>
    </w:p>
    <w:p w:rsidR="00000000" w:rsidDel="00000000" w:rsidP="00000000" w:rsidRDefault="00000000" w:rsidRPr="00000000" w14:paraId="0000001D">
      <w:pPr>
        <w:ind w:left="2160" w:firstLine="720"/>
        <w:rPr/>
      </w:pPr>
      <w:r w:rsidDel="00000000" w:rsidR="00000000" w:rsidRPr="00000000">
        <w:rPr>
          <w:rtl w:val="0"/>
        </w:rPr>
        <w:t xml:space="preserve">aaa@aaa.ru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000000" w:space="0" w:sz="48" w:val="single"/>
      </w:pBdr>
      <w:spacing w:after="480" w:before="2400" w:lineRule="auto"/>
      <w:jc w:val="left"/>
    </w:pPr>
    <w:rPr>
      <w:sz w:val="60"/>
      <w:szCs w:val="60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000000" w:space="0" w:sz="8" w:val="single"/>
      </w:pBdr>
      <w:spacing w:after="360" w:before="1200" w:lineRule="auto"/>
      <w:jc w:val="left"/>
    </w:pPr>
    <w:rPr>
      <w:sz w:val="48"/>
      <w:szCs w:val="4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600" w:lineRule="auto"/>
      <w:jc w:val="left"/>
    </w:pPr>
    <w:rPr>
      <w:sz w:val="40"/>
      <w:szCs w:val="40"/>
    </w:rPr>
  </w:style>
  <w:style w:type="paragraph" w:styleId="Heading4">
    <w:name w:val="heading 4"/>
    <w:basedOn w:val="Normal"/>
    <w:next w:val="Normal"/>
    <w:pPr>
      <w:keepNext w:val="1"/>
      <w:keepLines w:val="1"/>
      <w:spacing w:after="120" w:before="400" w:lineRule="auto"/>
      <w:jc w:val="left"/>
    </w:pPr>
    <w:rPr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/>
  </w:style>
  <w:style w:type="paragraph" w:styleId="Title">
    <w:name w:val="Title"/>
    <w:basedOn w:val="Normal"/>
    <w:next w:val="Normal"/>
    <w:pPr>
      <w:keepNext w:val="1"/>
      <w:keepLines w:val="1"/>
      <w:spacing w:after="60" w:before="1200" w:lineRule="auto"/>
      <w:jc w:val="left"/>
    </w:pPr>
    <w:rPr>
      <w:sz w:val="96"/>
      <w:szCs w:val="9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://printspravka.tilda.ws/kalendar_kvart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